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6C09BEB7"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52364D">
        <w:rPr>
          <w:rFonts w:ascii="Arial" w:hAnsi="Arial" w:cs="Arial"/>
          <w:b/>
          <w:bCs/>
        </w:rPr>
        <w:t>3</w:t>
      </w:r>
      <w:r w:rsidR="00143B1B">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143B1B">
        <w:rPr>
          <w:rFonts w:ascii="Arial" w:hAnsi="Arial" w:cs="Arial"/>
          <w:b/>
          <w:bCs/>
        </w:rPr>
        <w:t>103843</w:t>
      </w:r>
    </w:p>
    <w:p w14:paraId="7AA37DF6" w14:textId="77777777" w:rsidR="00143B1B" w:rsidRPr="00210D4C" w:rsidRDefault="00143B1B" w:rsidP="00143B1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April 20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76880E2" w:rsidR="00E90E49" w:rsidRPr="00764EBC" w:rsidRDefault="00E90E49" w:rsidP="00311702">
      <w:pPr>
        <w:pStyle w:val="3GPPHeader"/>
      </w:pPr>
      <w:r w:rsidRPr="00764EBC">
        <w:t>Agenda Item:</w:t>
      </w:r>
      <w:r w:rsidRPr="00764EBC">
        <w:tab/>
      </w:r>
      <w:r w:rsidR="00070D81">
        <w:t>9.2.2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4BF105A" w:rsidR="00531215" w:rsidRPr="00764EBC" w:rsidRDefault="003D3C45" w:rsidP="00311702">
      <w:pPr>
        <w:pStyle w:val="3GPPHeader"/>
      </w:pPr>
      <w:r w:rsidRPr="00764EBC">
        <w:t>Title:</w:t>
      </w:r>
      <w:r w:rsidR="00E90E49" w:rsidRPr="00764EBC">
        <w:tab/>
      </w:r>
      <w:r w:rsidR="004063E9">
        <w:t xml:space="preserve">On </w:t>
      </w:r>
      <w:r w:rsidR="00247F20">
        <w:t>Preamble Ambiguity</w:t>
      </w:r>
      <w:r w:rsidR="00CD4AD6">
        <w:t xml:space="preserve"> </w:t>
      </w:r>
      <w:r w:rsidR="00247F20">
        <w:t>of</w:t>
      </w:r>
      <w:r w:rsidR="004063E9">
        <w:t xml:space="preserve"> N</w:t>
      </w:r>
      <w:r w:rsidR="0094214A">
        <w:t xml:space="preserve">on Terrestrial </w:t>
      </w:r>
      <w:r w:rsidR="00247F20">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5B2563F"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 resolving preamble ambiguity</w:t>
      </w:r>
      <w:r>
        <w:t xml:space="preserve">. </w:t>
      </w:r>
    </w:p>
    <w:p w14:paraId="30672A21" w14:textId="77777777" w:rsidR="00EC0D2F" w:rsidRPr="00E75532" w:rsidRDefault="00EC0D2F" w:rsidP="00416D56">
      <w:pPr>
        <w:jc w:val="both"/>
        <w:rPr>
          <w:szCs w:val="20"/>
        </w:rPr>
      </w:pPr>
    </w:p>
    <w:p w14:paraId="05E5CF06" w14:textId="497FCF44"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247F20">
        <w:rPr>
          <w:szCs w:val="20"/>
        </w:rPr>
        <w:t>and provide solutions which help resolve this mismatch</w:t>
      </w:r>
      <w:r w:rsidR="004F5A72">
        <w:rPr>
          <w:szCs w:val="20"/>
        </w:rPr>
        <w:t xml:space="preserve">. </w:t>
      </w:r>
    </w:p>
    <w:p w14:paraId="0992D43A" w14:textId="2FAA70CF" w:rsidR="00614C18" w:rsidRPr="00614C18" w:rsidRDefault="00EA5A5B" w:rsidP="00614C18">
      <w:pPr>
        <w:pStyle w:val="Heading1"/>
      </w:pPr>
      <w:r>
        <w:t>Discussion</w:t>
      </w:r>
    </w:p>
    <w:p w14:paraId="4A55F573" w14:textId="727D9982" w:rsidR="00614C18" w:rsidRDefault="00632107" w:rsidP="00163AAA">
      <w:pPr>
        <w:pStyle w:val="Heading2"/>
        <w:jc w:val="both"/>
      </w:pPr>
      <w:r>
        <w:t>Differential Delay</w:t>
      </w:r>
    </w:p>
    <w:p w14:paraId="171DED81" w14:textId="5078AD62" w:rsidR="007E2C26" w:rsidRDefault="00632107" w:rsidP="00632107">
      <w:pPr>
        <w:tabs>
          <w:tab w:val="left" w:pos="1350"/>
        </w:tabs>
      </w:pPr>
      <w:r>
        <w:t xml:space="preserve">Based on [3], the differential delay is defined as the propagation delay between two chosen points withing the cell that are at specific positions within the beam foot print of the satellite coverage. The maximum differential delay for GEO based </w:t>
      </w:r>
      <w:r w:rsidR="0094214A">
        <w:t>Non Terrestrial Networks</w:t>
      </w:r>
      <w:r>
        <w:t xml:space="preserve"> is 10.3ms while for LEO based configurations is 3.18ms. In comparison, differential delay in terrestrial networks is 0.8ms. </w:t>
      </w:r>
      <w:r w:rsidR="007E2C26">
        <w:t xml:space="preserve">Figure 1 below from [3] shows the differential delay calculation for the two </w:t>
      </w:r>
      <w:r w:rsidR="00643C62">
        <w:t xml:space="preserve">simplified </w:t>
      </w:r>
      <w:r w:rsidR="007E2C26">
        <w:t xml:space="preserve">configurations of </w:t>
      </w:r>
      <w:r w:rsidR="0094214A">
        <w:t>Non Terrestrial Networks</w:t>
      </w:r>
      <w:r w:rsidR="007E2C26">
        <w:t>.</w:t>
      </w:r>
    </w:p>
    <w:p w14:paraId="49D4C7B9" w14:textId="2AEF0ABE" w:rsidR="007E2C26" w:rsidRDefault="007E2C26" w:rsidP="00632107">
      <w:pPr>
        <w:tabs>
          <w:tab w:val="left" w:pos="1350"/>
        </w:tabs>
      </w:pPr>
    </w:p>
    <w:p w14:paraId="2F7BE1F9" w14:textId="58AD1194" w:rsidR="007E2C26" w:rsidRDefault="007E2C26" w:rsidP="00010BEE">
      <w:pPr>
        <w:tabs>
          <w:tab w:val="left" w:pos="1350"/>
        </w:tabs>
        <w:jc w:val="center"/>
      </w:pPr>
      <w:r w:rsidRPr="007E2C26">
        <w:rPr>
          <w:noProof/>
        </w:rPr>
        <w:drawing>
          <wp:inline distT="0" distB="0" distL="0" distR="0" wp14:anchorId="02883848" wp14:editId="6F6147C0">
            <wp:extent cx="5245100" cy="1949450"/>
            <wp:effectExtent l="0" t="0" r="0" b="0"/>
            <wp:docPr id="2" name="Picture 2" descr="Differential delay for NTN architectu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fferential delay for NTN architectures. "/>
                    <pic:cNvPicPr/>
                  </pic:nvPicPr>
                  <pic:blipFill>
                    <a:blip r:embed="rId8"/>
                    <a:stretch>
                      <a:fillRect/>
                    </a:stretch>
                  </pic:blipFill>
                  <pic:spPr>
                    <a:xfrm>
                      <a:off x="0" y="0"/>
                      <a:ext cx="5245100" cy="1949450"/>
                    </a:xfrm>
                    <a:prstGeom prst="rect">
                      <a:avLst/>
                    </a:prstGeom>
                  </pic:spPr>
                </pic:pic>
              </a:graphicData>
            </a:graphic>
          </wp:inline>
        </w:drawing>
      </w:r>
    </w:p>
    <w:p w14:paraId="07FDB400" w14:textId="622CEEE5" w:rsidR="007E2C26" w:rsidRDefault="00010BEE" w:rsidP="00010BEE">
      <w:pPr>
        <w:tabs>
          <w:tab w:val="left" w:pos="1350"/>
        </w:tabs>
        <w:jc w:val="center"/>
      </w:pPr>
      <w:r w:rsidRPr="00010BEE">
        <w:rPr>
          <w:b/>
          <w:bCs/>
        </w:rPr>
        <w:t>Figure 1.</w:t>
      </w:r>
      <w:r>
        <w:t xml:space="preserve"> Differential Delay in </w:t>
      </w:r>
      <w:r w:rsidR="0094214A">
        <w:t>Non Terrestrial Networks</w:t>
      </w:r>
    </w:p>
    <w:p w14:paraId="532881D0" w14:textId="77777777" w:rsidR="00010BEE" w:rsidRDefault="00010BEE" w:rsidP="00010BEE">
      <w:pPr>
        <w:tabs>
          <w:tab w:val="left" w:pos="1350"/>
        </w:tabs>
        <w:jc w:val="center"/>
      </w:pPr>
    </w:p>
    <w:p w14:paraId="254510B0" w14:textId="52D9902D" w:rsidR="00632107" w:rsidRDefault="00632107" w:rsidP="00632107">
      <w:pPr>
        <w:tabs>
          <w:tab w:val="left" w:pos="1350"/>
        </w:tabs>
      </w:pPr>
      <w:r>
        <w:t xml:space="preserve">Two </w:t>
      </w:r>
      <w:r w:rsidR="00587351">
        <w:t xml:space="preserve">main </w:t>
      </w:r>
      <w:r>
        <w:t xml:space="preserve">problems arise due to the differential delay in </w:t>
      </w:r>
      <w:r w:rsidR="0094214A">
        <w:t>Non Terrestrial Networks</w:t>
      </w:r>
      <w:r>
        <w:t xml:space="preserve"> which are described in the following section</w:t>
      </w:r>
      <w:r w:rsidR="00E90D78">
        <w:t>s</w:t>
      </w:r>
      <w:r>
        <w:t>.</w:t>
      </w:r>
    </w:p>
    <w:p w14:paraId="21E5B5D5" w14:textId="329A1ADE" w:rsidR="00163AAA" w:rsidRDefault="00632107" w:rsidP="00163AAA">
      <w:pPr>
        <w:pStyle w:val="Heading2"/>
        <w:jc w:val="both"/>
      </w:pPr>
      <w:r>
        <w:t xml:space="preserve">Problem 1: RA-RNTI </w:t>
      </w:r>
      <w:r w:rsidR="003562AB">
        <w:t>ambiguity</w:t>
      </w:r>
      <w:r w:rsidR="00587351">
        <w:t xml:space="preserve"> between UE and network</w:t>
      </w:r>
      <w:r>
        <w:t xml:space="preserve"> </w:t>
      </w:r>
    </w:p>
    <w:p w14:paraId="00D222CA" w14:textId="0F7B6D21" w:rsidR="00587351" w:rsidRPr="00587351" w:rsidRDefault="00587351" w:rsidP="00163AAA">
      <w:pPr>
        <w:jc w:val="both"/>
      </w:pPr>
      <w:r>
        <w:t xml:space="preserve">RA-RNTI associated with a PRACH where Random Access Preamble can be transmitted is currently computed as </w:t>
      </w:r>
      <m:oMath>
        <m:r>
          <w:rPr>
            <w:rFonts w:ascii="Cambria Math" w:hAnsi="Cambria Math"/>
          </w:rPr>
          <m:t>R</m:t>
        </m:r>
        <m:sSub>
          <m:sSubPr>
            <m:ctrlPr>
              <w:rPr>
                <w:rFonts w:ascii="Cambria Math" w:hAnsi="Cambria Math"/>
                <w:i/>
              </w:rPr>
            </m:ctrlPr>
          </m:sSubPr>
          <m:e>
            <m:r>
              <w:rPr>
                <w:rFonts w:ascii="Cambria Math" w:hAnsi="Cambria Math"/>
              </w:rPr>
              <m:t>A</m:t>
            </m:r>
          </m:e>
          <m:sub>
            <m:r>
              <w:rPr>
                <w:rFonts w:ascii="Cambria Math" w:hAnsi="Cambria Math"/>
              </w:rPr>
              <m:t>RNTI</m:t>
            </m:r>
          </m:sub>
        </m:sSub>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hAnsi="Cambria Math"/>
          </w:rPr>
          <m:t>+14*80*8*u</m:t>
        </m:r>
        <m:sSub>
          <m:sSubPr>
            <m:ctrlPr>
              <w:rPr>
                <w:rFonts w:ascii="Cambria Math" w:hAnsi="Cambria Math"/>
                <w:i/>
              </w:rPr>
            </m:ctrlPr>
          </m:sSubPr>
          <m:e>
            <m:r>
              <w:rPr>
                <w:rFonts w:ascii="Cambria Math" w:hAnsi="Cambria Math"/>
              </w:rPr>
              <m:t>l</m:t>
            </m:r>
          </m:e>
          <m:sub>
            <m:r>
              <w:rPr>
                <w:rFonts w:ascii="Cambria Math" w:hAnsi="Cambria Math"/>
              </w:rPr>
              <m:t>carrie</m:t>
            </m:r>
            <m:sSub>
              <m:sSubPr>
                <m:ctrlPr>
                  <w:rPr>
                    <w:rFonts w:ascii="Cambria Math" w:hAnsi="Cambria Math"/>
                    <w:i/>
                  </w:rPr>
                </m:ctrlPr>
              </m:sSubPr>
              <m:e>
                <m:r>
                  <w:rPr>
                    <w:rFonts w:ascii="Cambria Math" w:hAnsi="Cambria Math"/>
                  </w:rPr>
                  <m:t>r</m:t>
                </m:r>
              </m:e>
              <m:sub>
                <m:r>
                  <w:rPr>
                    <w:rFonts w:ascii="Cambria Math" w:hAnsi="Cambria Math"/>
                  </w:rPr>
                  <m:t>id</m:t>
                </m:r>
              </m:sub>
            </m:sSub>
          </m:sub>
        </m:sSub>
      </m:oMath>
    </w:p>
    <w:p w14:paraId="0D164FB3" w14:textId="2BFC4F29" w:rsidR="00587351" w:rsidRDefault="00587351" w:rsidP="00163AAA">
      <w:pPr>
        <w:jc w:val="both"/>
      </w:pPr>
    </w:p>
    <w:p w14:paraId="0975962A" w14:textId="06406C4E" w:rsidR="00587351" w:rsidRDefault="00587351" w:rsidP="00163AAA">
      <w:pPr>
        <w:jc w:val="both"/>
      </w:pPr>
      <w:r>
        <w:lastRenderedPageBreak/>
        <w:t xml:space="preserve">where </w:t>
      </w:r>
    </w:p>
    <w:tbl>
      <w:tblPr>
        <w:tblStyle w:val="GridTable1Light"/>
        <w:tblW w:w="0" w:type="auto"/>
        <w:jc w:val="center"/>
        <w:tblLook w:val="04A0" w:firstRow="1" w:lastRow="0" w:firstColumn="1" w:lastColumn="0" w:noHBand="0" w:noVBand="1"/>
      </w:tblPr>
      <w:tblGrid>
        <w:gridCol w:w="2605"/>
        <w:gridCol w:w="7024"/>
      </w:tblGrid>
      <w:tr w:rsidR="00587351" w:rsidRPr="0007086A" w14:paraId="6D830373" w14:textId="77777777" w:rsidTr="00FB09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tcPr>
          <w:p w14:paraId="04C083B3" w14:textId="7E34CFF7" w:rsidR="00587351" w:rsidRPr="0007086A" w:rsidRDefault="00587351" w:rsidP="0007086A">
            <w:pPr>
              <w:jc w:val="center"/>
              <w:rPr>
                <w:sz w:val="20"/>
                <w:szCs w:val="20"/>
              </w:rPr>
            </w:pPr>
            <w:r w:rsidRPr="0007086A">
              <w:rPr>
                <w:sz w:val="20"/>
                <w:szCs w:val="20"/>
              </w:rPr>
              <w:t>Variable</w:t>
            </w:r>
          </w:p>
        </w:tc>
        <w:tc>
          <w:tcPr>
            <w:tcW w:w="7024" w:type="dxa"/>
          </w:tcPr>
          <w:p w14:paraId="688911F6" w14:textId="2D527805" w:rsidR="00587351" w:rsidRPr="0007086A" w:rsidRDefault="00587351" w:rsidP="0007086A">
            <w:pPr>
              <w:jc w:val="center"/>
              <w:cnfStyle w:val="100000000000" w:firstRow="1" w:lastRow="0" w:firstColumn="0" w:lastColumn="0" w:oddVBand="0" w:evenVBand="0" w:oddHBand="0" w:evenHBand="0" w:firstRowFirstColumn="0" w:firstRowLastColumn="0" w:lastRowFirstColumn="0" w:lastRowLastColumn="0"/>
              <w:rPr>
                <w:sz w:val="20"/>
                <w:szCs w:val="20"/>
              </w:rPr>
            </w:pPr>
            <w:r w:rsidRPr="0007086A">
              <w:rPr>
                <w:sz w:val="20"/>
                <w:szCs w:val="20"/>
              </w:rPr>
              <w:t>Detail</w:t>
            </w:r>
          </w:p>
        </w:tc>
      </w:tr>
      <w:tr w:rsidR="00587351" w:rsidRPr="0007086A" w14:paraId="2F059D10"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62840FF" w14:textId="1649AAA5" w:rsidR="00587351" w:rsidRPr="0007086A" w:rsidRDefault="00B309D7"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s</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15257F8" w14:textId="4268D3B1"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first OFDM symbol of the specified PRACH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r>
                <w:rPr>
                  <w:rFonts w:ascii="Cambria Math" w:hAnsi="Cambria Math"/>
                  <w:sz w:val="20"/>
                  <w:szCs w:val="20"/>
                </w:rPr>
                <m:t>&lt;14)</m:t>
              </m:r>
            </m:oMath>
          </w:p>
        </w:tc>
      </w:tr>
      <w:tr w:rsidR="00587351" w:rsidRPr="0007086A" w14:paraId="05FD3934"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05672BBC" w14:textId="0A8E7C53" w:rsidR="00587351" w:rsidRPr="0007086A" w:rsidRDefault="00B309D7"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t</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2057242" w14:textId="48B51C77"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Index of the first slot of the specified PRACH in a system frame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&lt;80</m:t>
              </m:r>
            </m:oMath>
            <w:r w:rsidRPr="0007086A">
              <w:rPr>
                <w:sz w:val="20"/>
                <w:szCs w:val="20"/>
              </w:rPr>
              <w:t>)</w:t>
            </w:r>
          </w:p>
        </w:tc>
      </w:tr>
      <w:tr w:rsidR="00587351" w:rsidRPr="0007086A" w14:paraId="55A5F9B9"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E883098" w14:textId="28543028" w:rsidR="00587351" w:rsidRPr="0007086A" w:rsidRDefault="00B309D7"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29BD139B" w14:textId="0A5F125C"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specified PRACH in the frequency domain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r>
                <w:rPr>
                  <w:rFonts w:ascii="Cambria Math" w:hAnsi="Cambria Math"/>
                  <w:sz w:val="20"/>
                  <w:szCs w:val="20"/>
                </w:rPr>
                <m:t>&lt;8)</m:t>
              </m:r>
            </m:oMath>
          </w:p>
        </w:tc>
      </w:tr>
      <w:tr w:rsidR="00587351" w:rsidRPr="0007086A" w14:paraId="3848DF7E"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B6A14EF" w14:textId="4AAE034B" w:rsidR="00587351" w:rsidRPr="0007086A" w:rsidRDefault="00587351" w:rsidP="00163AAA">
            <w:pPr>
              <w:jc w:val="both"/>
              <w:rPr>
                <w:b w:val="0"/>
                <w:bCs w:val="0"/>
                <w:sz w:val="20"/>
                <w:szCs w:val="20"/>
              </w:rPr>
            </w:pPr>
            <m:oMathPara>
              <m:oMath>
                <m:r>
                  <m:rPr>
                    <m:sty m:val="bi"/>
                  </m:rPr>
                  <w:rPr>
                    <w:rFonts w:ascii="Cambria Math" w:hAnsi="Cambria Math"/>
                    <w:sz w:val="20"/>
                    <w:szCs w:val="20"/>
                  </w:rPr>
                  <m:t>u</m:t>
                </m:r>
                <m:sSub>
                  <m:sSubPr>
                    <m:ctrlPr>
                      <w:rPr>
                        <w:rFonts w:ascii="Cambria Math" w:hAnsi="Cambria Math"/>
                        <w:i/>
                        <w:sz w:val="20"/>
                        <w:szCs w:val="20"/>
                      </w:rPr>
                    </m:ctrlPr>
                  </m:sSubPr>
                  <m:e>
                    <m:r>
                      <m:rPr>
                        <m:sty m:val="bi"/>
                      </m:rPr>
                      <w:rPr>
                        <w:rFonts w:ascii="Cambria Math" w:hAnsi="Cambria Math"/>
                        <w:sz w:val="20"/>
                        <w:szCs w:val="20"/>
                      </w:rPr>
                      <m:t>l</m:t>
                    </m:r>
                    <m:ctrlPr>
                      <w:rPr>
                        <w:rFonts w:ascii="Cambria Math" w:hAnsi="Cambria Math"/>
                        <w:b w:val="0"/>
                        <w:bCs w:val="0"/>
                        <w:i/>
                        <w:sz w:val="20"/>
                        <w:szCs w:val="20"/>
                      </w:rPr>
                    </m:ctrlPr>
                  </m:e>
                  <m:sub>
                    <m:r>
                      <m:rPr>
                        <m:sty m:val="bi"/>
                      </m:rPr>
                      <w:rPr>
                        <w:rFonts w:ascii="Cambria Math" w:hAnsi="Cambria Math"/>
                        <w:sz w:val="20"/>
                        <w:szCs w:val="20"/>
                      </w:rPr>
                      <m:t>carrie</m:t>
                    </m:r>
                    <m:sSub>
                      <m:sSubPr>
                        <m:ctrlPr>
                          <w:rPr>
                            <w:rFonts w:ascii="Cambria Math" w:hAnsi="Cambria Math"/>
                            <w:i/>
                            <w:sz w:val="20"/>
                            <w:szCs w:val="20"/>
                          </w:rPr>
                        </m:ctrlPr>
                      </m:sSubPr>
                      <m:e>
                        <m:r>
                          <m:rPr>
                            <m:sty m:val="bi"/>
                          </m:rPr>
                          <w:rPr>
                            <w:rFonts w:ascii="Cambria Math" w:hAnsi="Cambria Math"/>
                            <w:sz w:val="20"/>
                            <w:szCs w:val="20"/>
                          </w:rPr>
                          <m:t>r</m:t>
                        </m:r>
                        <m:ctrlPr>
                          <w:rPr>
                            <w:rFonts w:ascii="Cambria Math" w:hAnsi="Cambria Math"/>
                            <w:b w:val="0"/>
                            <w:bCs w:val="0"/>
                            <w:i/>
                            <w:sz w:val="20"/>
                            <w:szCs w:val="20"/>
                          </w:rPr>
                        </m:ctrlPr>
                      </m:e>
                      <m:sub>
                        <m:r>
                          <m:rPr>
                            <m:sty m:val="bi"/>
                          </m:rPr>
                          <w:rPr>
                            <w:rFonts w:ascii="Cambria Math" w:hAnsi="Cambria Math"/>
                            <w:sz w:val="20"/>
                            <w:szCs w:val="20"/>
                          </w:rPr>
                          <m:t>id</m:t>
                        </m:r>
                      </m:sub>
                    </m:sSub>
                  </m:sub>
                </m:sSub>
              </m:oMath>
            </m:oMathPara>
          </w:p>
        </w:tc>
        <w:tc>
          <w:tcPr>
            <w:tcW w:w="7024" w:type="dxa"/>
          </w:tcPr>
          <w:p w14:paraId="0FB1EFCA" w14:textId="1CA7000D"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Uplink carrier </w:t>
            </w:r>
            <w:r w:rsidR="0007086A" w:rsidRPr="0007086A">
              <w:rPr>
                <w:sz w:val="20"/>
                <w:szCs w:val="20"/>
              </w:rPr>
              <w:t>used for Msg1 transmission (0 for NUL carrier, and 1 for SUL carrier)</w:t>
            </w:r>
          </w:p>
        </w:tc>
      </w:tr>
    </w:tbl>
    <w:p w14:paraId="01F2851D" w14:textId="77777777" w:rsidR="00587351" w:rsidRDefault="00587351" w:rsidP="00163AAA">
      <w:pPr>
        <w:jc w:val="both"/>
      </w:pPr>
    </w:p>
    <w:p w14:paraId="02B33319" w14:textId="759F4E36" w:rsidR="007E2C26" w:rsidRPr="00247F20" w:rsidRDefault="00587351" w:rsidP="0007086A">
      <w:pPr>
        <w:jc w:val="both"/>
      </w:pPr>
      <w:r>
        <w:t xml:space="preserve"> </w:t>
      </w:r>
      <w:r w:rsidR="0007086A">
        <w:t xml:space="preserve">For terrestrial networks, the UE and the network both choose </w:t>
      </w:r>
      <m:oMath>
        <m:r>
          <w:rPr>
            <w:rFonts w:ascii="Cambria Math" w:hAnsi="Cambria Math"/>
          </w:rPr>
          <m:t>t_id</m:t>
        </m:r>
      </m:oMath>
      <w:r w:rsidR="0007086A">
        <w:t xml:space="preserve"> to be the </w:t>
      </w:r>
      <w:r w:rsidR="0007086A" w:rsidRPr="0007086A">
        <w:rPr>
          <w:i/>
          <w:iCs/>
          <w:u w:val="single"/>
        </w:rPr>
        <w:t>first index of the time slot</w:t>
      </w:r>
      <w:r w:rsidR="0007086A">
        <w:t xml:space="preserve"> of the specified PRACH in the system frame and in which preamble is </w:t>
      </w:r>
      <w:r w:rsidR="00E90D78">
        <w:t xml:space="preserve">transmitted or </w:t>
      </w:r>
      <w:r w:rsidR="0007086A">
        <w:t xml:space="preserve">received respectively. Due to this separately computed RA-RNTIs at the UE and the network match. However in </w:t>
      </w:r>
      <w:r w:rsidR="0094214A">
        <w:t>Non Terrestrial Networks</w:t>
      </w:r>
      <w:r w:rsidR="0007086A">
        <w:t xml:space="preserve">, due to the larger differential delay a similar calculation without any compensation will lead to RA-RNTI mismatch causing UE RACH Preamble transmission failure. </w:t>
      </w:r>
      <w:r w:rsidR="001054E8">
        <w:t xml:space="preserve">In this scenario of NTN, if two different UEs use different slots </w:t>
      </w:r>
      <w:r w:rsidR="00F337D6">
        <w:t xml:space="preserve">of same frame </w:t>
      </w:r>
      <w:r w:rsidR="001054E8">
        <w:t>to send the</w:t>
      </w:r>
      <w:r w:rsidR="00FB0979">
        <w:t xml:space="preserve"> </w:t>
      </w:r>
      <w:r w:rsidR="001054E8">
        <w:t>PRACH, according to the existing calculations, the network cannot distinguish between them.</w:t>
      </w:r>
    </w:p>
    <w:p w14:paraId="2FBC0014" w14:textId="77777777" w:rsidR="007E2C26" w:rsidRDefault="007E2C26" w:rsidP="007E2C26"/>
    <w:p w14:paraId="5A5BC95F" w14:textId="4E9485B3" w:rsidR="007E2C26" w:rsidRPr="00FD3835" w:rsidRDefault="007E2C26" w:rsidP="007E2C26">
      <w:pPr>
        <w:rPr>
          <w:i/>
          <w:iCs/>
        </w:rPr>
      </w:pPr>
      <w:r w:rsidRPr="00FD3835">
        <w:rPr>
          <w:b/>
          <w:bCs/>
          <w:i/>
          <w:iCs/>
          <w:u w:val="single"/>
        </w:rPr>
        <w:t>Observation 1:</w:t>
      </w:r>
      <w:r w:rsidRPr="00FD3835">
        <w:rPr>
          <w:i/>
          <w:iCs/>
        </w:rPr>
        <w:t xml:space="preserve"> </w:t>
      </w:r>
      <w:r w:rsidR="0007086A">
        <w:rPr>
          <w:i/>
          <w:iCs/>
        </w:rPr>
        <w:t xml:space="preserve">Using the existing method of RA-RNTI calculation for preamble transmission by UE will lead to a RA-RNTI </w:t>
      </w:r>
      <w:r w:rsidR="00FB0979">
        <w:rPr>
          <w:i/>
          <w:iCs/>
        </w:rPr>
        <w:t>ambiguity</w:t>
      </w:r>
      <w:r w:rsidR="0007086A">
        <w:rPr>
          <w:i/>
          <w:iCs/>
        </w:rPr>
        <w:t xml:space="preserve"> at the network </w:t>
      </w:r>
      <w:r w:rsidR="00FB0979">
        <w:rPr>
          <w:i/>
          <w:iCs/>
        </w:rPr>
        <w:t xml:space="preserve">when two UEs send PRACH in </w:t>
      </w:r>
      <w:r w:rsidR="0036071E">
        <w:rPr>
          <w:i/>
          <w:iCs/>
        </w:rPr>
        <w:t>different</w:t>
      </w:r>
      <w:r w:rsidR="00FB0979">
        <w:rPr>
          <w:i/>
          <w:iCs/>
        </w:rPr>
        <w:t xml:space="preserve"> slot</w:t>
      </w:r>
      <w:r w:rsidR="00F337D6">
        <w:rPr>
          <w:i/>
          <w:iCs/>
        </w:rPr>
        <w:t>s of same frame</w:t>
      </w:r>
      <w:r w:rsidRPr="00FD3835">
        <w:rPr>
          <w:i/>
          <w:iCs/>
        </w:rPr>
        <w:t xml:space="preserve">. </w:t>
      </w:r>
      <w:r w:rsidR="00F20D5C">
        <w:rPr>
          <w:i/>
          <w:iCs/>
        </w:rPr>
        <w:t>This problem is magnified in cases of NB-IoT devices deployments in NTN configurations.</w:t>
      </w:r>
    </w:p>
    <w:p w14:paraId="6043317A" w14:textId="7B20E378" w:rsidR="004063E9" w:rsidRDefault="00632107" w:rsidP="009970CC">
      <w:pPr>
        <w:pStyle w:val="Heading2"/>
        <w:jc w:val="both"/>
      </w:pPr>
      <w:r>
        <w:t>Problem 2: RACH Fairness</w:t>
      </w:r>
    </w:p>
    <w:p w14:paraId="72370B61" w14:textId="7CC55FC4" w:rsidR="00941FF9" w:rsidRDefault="0007086A" w:rsidP="00FB7153">
      <w:pPr>
        <w:jc w:val="both"/>
      </w:pPr>
      <w:r>
        <w:t>An additional problem is seen in terms of fairness of RACH success for</w:t>
      </w:r>
      <w:r w:rsidR="00A64B67">
        <w:t xml:space="preserve"> network indicated TA</w:t>
      </w:r>
      <w:r>
        <w:t xml:space="preserve"> UEs </w:t>
      </w:r>
      <w:r w:rsidR="00A64B67">
        <w:t xml:space="preserve">which might not be capable of calculating the full TA </w:t>
      </w:r>
      <w:r>
        <w:t>as shown in Figure 2.</w:t>
      </w:r>
      <w:r w:rsidR="00010BEE">
        <w:t xml:space="preserve"> </w:t>
      </w:r>
      <w:r w:rsidR="00A64B67">
        <w:t xml:space="preserve">This is due to the impact of differential delays </w:t>
      </w:r>
      <w:r w:rsidR="00010BEE">
        <w:t xml:space="preserve">attributed to the larger cell sizes (than those in currently existing terrestrial networks). </w:t>
      </w:r>
    </w:p>
    <w:p w14:paraId="223B2878" w14:textId="528C538B" w:rsidR="0007086A" w:rsidRDefault="0007086A" w:rsidP="00FB7153">
      <w:pPr>
        <w:jc w:val="both"/>
      </w:pPr>
    </w:p>
    <w:p w14:paraId="6C6DCE11" w14:textId="5408EA31" w:rsidR="0007086A" w:rsidRDefault="0007086A" w:rsidP="0007086A">
      <w:pPr>
        <w:jc w:val="center"/>
        <w:rPr>
          <w:strike/>
        </w:rPr>
      </w:pPr>
      <w:r w:rsidRPr="00632107">
        <w:rPr>
          <w:noProof/>
        </w:rPr>
        <w:drawing>
          <wp:inline distT="0" distB="0" distL="0" distR="0" wp14:anchorId="1F0D6C15" wp14:editId="60F8127B">
            <wp:extent cx="2870200" cy="1200150"/>
            <wp:effectExtent l="0" t="0" r="0" b="0"/>
            <wp:docPr id="1" name="Picture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
                    <pic:cNvPicPr/>
                  </pic:nvPicPr>
                  <pic:blipFill>
                    <a:blip r:embed="rId9"/>
                    <a:stretch>
                      <a:fillRect/>
                    </a:stretch>
                  </pic:blipFill>
                  <pic:spPr>
                    <a:xfrm>
                      <a:off x="0" y="0"/>
                      <a:ext cx="2870200" cy="1200150"/>
                    </a:xfrm>
                    <a:prstGeom prst="rect">
                      <a:avLst/>
                    </a:prstGeom>
                  </pic:spPr>
                </pic:pic>
              </a:graphicData>
            </a:graphic>
          </wp:inline>
        </w:drawing>
      </w:r>
    </w:p>
    <w:p w14:paraId="750D4DA3" w14:textId="58FD14B6" w:rsidR="00010BEE" w:rsidRDefault="00010BEE" w:rsidP="0007086A">
      <w:pPr>
        <w:jc w:val="center"/>
      </w:pPr>
      <w:r w:rsidRPr="00010BEE">
        <w:rPr>
          <w:b/>
          <w:bCs/>
        </w:rPr>
        <w:t>Figure 2.</w:t>
      </w:r>
      <w:r>
        <w:t xml:space="preserve"> Larger differential delay due to relative UE location in cell </w:t>
      </w:r>
    </w:p>
    <w:p w14:paraId="001071F9" w14:textId="77777777" w:rsidR="00010BEE" w:rsidRPr="00010BEE" w:rsidRDefault="00010BEE" w:rsidP="0007086A">
      <w:pPr>
        <w:jc w:val="center"/>
      </w:pPr>
    </w:p>
    <w:p w14:paraId="6F722818" w14:textId="2290F21F" w:rsidR="002A70F1" w:rsidRDefault="009D0459" w:rsidP="001F0636">
      <w:pPr>
        <w:jc w:val="both"/>
        <w:rPr>
          <w:iCs/>
        </w:rPr>
      </w:pPr>
      <w:r>
        <w:rPr>
          <w:iCs/>
        </w:rPr>
        <w:t>In this figure a UE (Far Cell) that is further away from the satellite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has a higher differential delay compared to a UE (Near Cell with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i.e. </w:t>
      </w:r>
      <m:oMath>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oMath>
      <w:r w:rsidR="00010BEE">
        <w:rPr>
          <w:iCs/>
        </w:rPr>
        <w:t xml:space="preserve">. Due to the larger differential delay, the gNB will most likely always receive the near cell RACH messages before those from the far cell. The issue will become more prominent in GEO and large cell size LEO configurations. </w:t>
      </w:r>
    </w:p>
    <w:p w14:paraId="74B4DDFE" w14:textId="59B548C4" w:rsidR="00010BEE" w:rsidRDefault="00010BEE" w:rsidP="001F0636">
      <w:pPr>
        <w:jc w:val="both"/>
        <w:rPr>
          <w:iCs/>
        </w:rPr>
      </w:pPr>
    </w:p>
    <w:p w14:paraId="1852BDD0" w14:textId="39717F7D" w:rsidR="00010BEE" w:rsidRDefault="00010BEE" w:rsidP="001F0636">
      <w:pPr>
        <w:jc w:val="both"/>
        <w:rPr>
          <w:i/>
        </w:rPr>
      </w:pPr>
      <w:r w:rsidRPr="00010BEE">
        <w:rPr>
          <w:b/>
          <w:bCs/>
          <w:i/>
          <w:u w:val="single"/>
        </w:rPr>
        <w:t>Observation 2:</w:t>
      </w:r>
      <w:r w:rsidRPr="00010BEE">
        <w:rPr>
          <w:i/>
        </w:rPr>
        <w:t xml:space="preserve"> A degree of unfairness</w:t>
      </w:r>
      <w:r>
        <w:rPr>
          <w:i/>
        </w:rPr>
        <w:t xml:space="preserve"> for RACH procedures</w:t>
      </w:r>
      <w:r w:rsidRPr="00010BEE">
        <w:rPr>
          <w:i/>
        </w:rPr>
        <w:t xml:space="preserve"> exist</w:t>
      </w:r>
      <w:r>
        <w:rPr>
          <w:i/>
        </w:rPr>
        <w:t>s</w:t>
      </w:r>
      <w:r w:rsidRPr="00010BEE">
        <w:rPr>
          <w:i/>
        </w:rPr>
        <w:t xml:space="preserve"> in </w:t>
      </w:r>
      <w:r w:rsidR="0094214A">
        <w:rPr>
          <w:i/>
        </w:rPr>
        <w:t>Non Terrestrial Networks</w:t>
      </w:r>
      <w:r w:rsidRPr="00010BEE">
        <w:rPr>
          <w:i/>
        </w:rPr>
        <w:t xml:space="preserve"> especially in those with large cell sizes. </w:t>
      </w:r>
    </w:p>
    <w:p w14:paraId="4F37CB63" w14:textId="2A826750" w:rsidR="006F493A" w:rsidRDefault="006F493A" w:rsidP="001F0636">
      <w:pPr>
        <w:jc w:val="both"/>
        <w:rPr>
          <w:i/>
        </w:rPr>
      </w:pPr>
    </w:p>
    <w:p w14:paraId="09DE0F3E" w14:textId="77777777" w:rsidR="006F493A" w:rsidRDefault="006F493A" w:rsidP="001F0636">
      <w:pPr>
        <w:jc w:val="both"/>
        <w:rPr>
          <w:iCs/>
        </w:rPr>
      </w:pPr>
      <w:r>
        <w:rPr>
          <w:iCs/>
        </w:rPr>
        <w:t>The above problems exist irrespective of which RACH procedure (2-Step or 4-Step) is chosen.</w:t>
      </w:r>
    </w:p>
    <w:p w14:paraId="17811ACB" w14:textId="2AB0B7F0" w:rsidR="006F493A" w:rsidRDefault="006F493A" w:rsidP="001F0636">
      <w:pPr>
        <w:jc w:val="both"/>
        <w:rPr>
          <w:iCs/>
        </w:rPr>
      </w:pPr>
    </w:p>
    <w:p w14:paraId="588D3E9D" w14:textId="55B3A142" w:rsidR="006F493A" w:rsidRPr="006F493A" w:rsidRDefault="006F493A" w:rsidP="001F0636">
      <w:pPr>
        <w:jc w:val="both"/>
        <w:rPr>
          <w:i/>
        </w:rPr>
      </w:pPr>
      <w:r w:rsidRPr="006F493A">
        <w:rPr>
          <w:b/>
          <w:bCs/>
          <w:i/>
          <w:u w:val="single"/>
        </w:rPr>
        <w:t>Observation 3:</w:t>
      </w:r>
      <w:r w:rsidRPr="006F493A">
        <w:rPr>
          <w:i/>
        </w:rPr>
        <w:t xml:space="preserve"> The RA-RNTI </w:t>
      </w:r>
      <w:r w:rsidR="00AF6F29">
        <w:rPr>
          <w:i/>
        </w:rPr>
        <w:t>ambiguity</w:t>
      </w:r>
      <w:r w:rsidRPr="006F493A">
        <w:rPr>
          <w:i/>
        </w:rPr>
        <w:t xml:space="preserve"> and the unfairness for UEs located farther away from the satellite exist irrespective of the RACH procedure chosen (2-Step or 4-Step). </w:t>
      </w:r>
    </w:p>
    <w:p w14:paraId="20104195" w14:textId="77777777" w:rsidR="006F493A" w:rsidRDefault="006F493A" w:rsidP="001F0636">
      <w:pPr>
        <w:jc w:val="both"/>
        <w:rPr>
          <w:iCs/>
        </w:rPr>
      </w:pPr>
    </w:p>
    <w:p w14:paraId="4BDFD01B" w14:textId="656417E1" w:rsidR="00D740BF" w:rsidRDefault="002D5BCB" w:rsidP="00D740BF">
      <w:pPr>
        <w:jc w:val="both"/>
        <w:rPr>
          <w:iCs/>
        </w:rPr>
      </w:pPr>
      <w:r>
        <w:rPr>
          <w:iCs/>
        </w:rPr>
        <w:t>RAN2 should provide solutions to address both the above problem statements described above w</w:t>
      </w:r>
      <w:r w:rsidR="00D3151F">
        <w:rPr>
          <w:iCs/>
        </w:rPr>
        <w:t xml:space="preserve">ithout </w:t>
      </w:r>
      <w:r>
        <w:rPr>
          <w:iCs/>
        </w:rPr>
        <w:t xml:space="preserve">having to make major </w:t>
      </w:r>
      <w:r w:rsidR="00D3151F">
        <w:rPr>
          <w:iCs/>
        </w:rPr>
        <w:t>modifications to the existing RACH procedures</w:t>
      </w:r>
      <w:r>
        <w:rPr>
          <w:iCs/>
        </w:rPr>
        <w:t xml:space="preserve">. </w:t>
      </w:r>
    </w:p>
    <w:p w14:paraId="2ACF3315" w14:textId="77777777" w:rsidR="00711762" w:rsidRDefault="00711762" w:rsidP="001F0636">
      <w:pPr>
        <w:jc w:val="both"/>
        <w:rPr>
          <w:iCs/>
        </w:rPr>
      </w:pPr>
    </w:p>
    <w:p w14:paraId="67C23370" w14:textId="71EC45E7" w:rsidR="006F493A" w:rsidRDefault="00D3151F" w:rsidP="001F0636">
      <w:pPr>
        <w:jc w:val="both"/>
        <w:rPr>
          <w:iCs/>
        </w:rPr>
      </w:pPr>
      <w:r w:rsidRPr="00D3151F">
        <w:rPr>
          <w:b/>
          <w:bCs/>
          <w:i/>
          <w:u w:val="single"/>
        </w:rPr>
        <w:t>Proposal 1:</w:t>
      </w:r>
      <w:r w:rsidRPr="00D3151F">
        <w:rPr>
          <w:i/>
        </w:rPr>
        <w:t xml:space="preserve"> </w:t>
      </w:r>
      <w:r w:rsidR="00523640">
        <w:rPr>
          <w:i/>
        </w:rPr>
        <w:t xml:space="preserve">RAN2 </w:t>
      </w:r>
      <w:r w:rsidR="00253F2C">
        <w:rPr>
          <w:i/>
        </w:rPr>
        <w:t xml:space="preserve">to </w:t>
      </w:r>
      <w:r w:rsidR="00523640">
        <w:rPr>
          <w:i/>
        </w:rPr>
        <w:t>provide solution</w:t>
      </w:r>
      <w:r w:rsidR="008A5569">
        <w:rPr>
          <w:i/>
        </w:rPr>
        <w:t>s</w:t>
      </w:r>
      <w:r w:rsidR="00523640">
        <w:rPr>
          <w:i/>
        </w:rPr>
        <w:t xml:space="preserve"> to address </w:t>
      </w:r>
      <w:r w:rsidR="00253F2C">
        <w:rPr>
          <w:i/>
        </w:rPr>
        <w:t xml:space="preserve">the </w:t>
      </w:r>
      <w:r w:rsidR="00523640">
        <w:rPr>
          <w:i/>
        </w:rPr>
        <w:t>preamble ambiguity</w:t>
      </w:r>
      <w:r w:rsidR="00253F2C">
        <w:rPr>
          <w:i/>
        </w:rPr>
        <w:t xml:space="preserve"> </w:t>
      </w:r>
      <w:r w:rsidR="00CD4AD6">
        <w:rPr>
          <w:i/>
        </w:rPr>
        <w:t xml:space="preserve">issues </w:t>
      </w:r>
      <w:r w:rsidR="00253F2C">
        <w:rPr>
          <w:i/>
          <w:iCs/>
        </w:rPr>
        <w:t xml:space="preserve">at the network when </w:t>
      </w:r>
      <w:r w:rsidR="00CD4AD6">
        <w:rPr>
          <w:i/>
          <w:iCs/>
        </w:rPr>
        <w:t xml:space="preserve">receiving </w:t>
      </w:r>
      <w:r w:rsidR="0005069B">
        <w:rPr>
          <w:i/>
          <w:iCs/>
        </w:rPr>
        <w:t xml:space="preserve">in a detection window multiple </w:t>
      </w:r>
      <w:r w:rsidR="00CD4AD6">
        <w:rPr>
          <w:i/>
          <w:iCs/>
        </w:rPr>
        <w:t>PRACH</w:t>
      </w:r>
      <w:r w:rsidR="0005069B">
        <w:rPr>
          <w:i/>
          <w:iCs/>
        </w:rPr>
        <w:t>s</w:t>
      </w:r>
      <w:r w:rsidR="00CD4AD6">
        <w:rPr>
          <w:i/>
          <w:iCs/>
        </w:rPr>
        <w:t xml:space="preserve"> </w:t>
      </w:r>
      <w:r w:rsidR="0005069B">
        <w:rPr>
          <w:i/>
          <w:iCs/>
        </w:rPr>
        <w:t>that are sent from different</w:t>
      </w:r>
      <w:r w:rsidR="00253F2C">
        <w:rPr>
          <w:i/>
          <w:iCs/>
        </w:rPr>
        <w:t xml:space="preserve"> UEs in different slots.</w:t>
      </w:r>
    </w:p>
    <w:p w14:paraId="2C2BF86F" w14:textId="2DE6907E" w:rsidR="00D3151F" w:rsidRDefault="00D3151F" w:rsidP="001F0636">
      <w:pPr>
        <w:jc w:val="both"/>
        <w:rPr>
          <w:iCs/>
        </w:rPr>
      </w:pP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CF32843" w14:textId="4267239D" w:rsidR="008D62F8" w:rsidRPr="00FD3835" w:rsidRDefault="00AF1C81" w:rsidP="008D62F8">
      <w:pPr>
        <w:rPr>
          <w:i/>
          <w:iCs/>
        </w:rPr>
      </w:pPr>
      <w:r w:rsidRPr="00FD3835">
        <w:rPr>
          <w:b/>
          <w:bCs/>
          <w:i/>
          <w:iCs/>
          <w:u w:val="single"/>
        </w:rPr>
        <w:t>Observation 1:</w:t>
      </w:r>
      <w:r w:rsidRPr="00FD3835">
        <w:rPr>
          <w:i/>
          <w:iCs/>
        </w:rPr>
        <w:t xml:space="preserve"> </w:t>
      </w:r>
      <w:r w:rsidR="008D62F8">
        <w:rPr>
          <w:i/>
          <w:iCs/>
        </w:rPr>
        <w:t>Using the existing method of RA-RNTI calculation for preamble transmission by UE will lead to a RA-RNTI ambiguity at the network when two UEs send PRACH in different slots of same frame</w:t>
      </w:r>
      <w:r w:rsidR="008D62F8" w:rsidRPr="00FD3835">
        <w:rPr>
          <w:i/>
          <w:iCs/>
        </w:rPr>
        <w:t>.</w:t>
      </w:r>
      <w:r w:rsidR="00CD3D6C" w:rsidRPr="00CD3D6C">
        <w:rPr>
          <w:i/>
          <w:iCs/>
        </w:rPr>
        <w:t xml:space="preserve"> </w:t>
      </w:r>
      <w:r w:rsidR="00CD3D6C">
        <w:rPr>
          <w:i/>
          <w:iCs/>
        </w:rPr>
        <w:t>This problem is magnified in cases of NB-IoT devices deployments in NTN configurations.</w:t>
      </w:r>
    </w:p>
    <w:p w14:paraId="3DED09DA" w14:textId="175C85E2" w:rsidR="00CA1D43" w:rsidRDefault="00CA1D43" w:rsidP="00CA1D43">
      <w:pPr>
        <w:rPr>
          <w:i/>
          <w:iCs/>
        </w:rPr>
      </w:pPr>
    </w:p>
    <w:p w14:paraId="33E7900B" w14:textId="4A6DCDDB" w:rsidR="00AF1C81" w:rsidRDefault="00AF1C81" w:rsidP="008D62F8">
      <w:pPr>
        <w:jc w:val="both"/>
        <w:rPr>
          <w:i/>
        </w:rPr>
      </w:pPr>
      <w:r w:rsidRPr="00010BEE">
        <w:rPr>
          <w:b/>
          <w:bCs/>
          <w:i/>
          <w:u w:val="single"/>
        </w:rPr>
        <w:t>Observation 2:</w:t>
      </w:r>
      <w:r w:rsidRPr="00010BEE">
        <w:rPr>
          <w:i/>
        </w:rPr>
        <w:t xml:space="preserve"> </w:t>
      </w:r>
      <w:r w:rsidR="008D62F8" w:rsidRPr="00010BEE">
        <w:rPr>
          <w:i/>
        </w:rPr>
        <w:t>A degree of unfairness</w:t>
      </w:r>
      <w:r w:rsidR="008D62F8">
        <w:rPr>
          <w:i/>
        </w:rPr>
        <w:t xml:space="preserve"> for RACH procedures</w:t>
      </w:r>
      <w:r w:rsidR="008D62F8" w:rsidRPr="00010BEE">
        <w:rPr>
          <w:i/>
        </w:rPr>
        <w:t xml:space="preserve"> exist</w:t>
      </w:r>
      <w:r w:rsidR="008D62F8">
        <w:rPr>
          <w:i/>
        </w:rPr>
        <w:t>s</w:t>
      </w:r>
      <w:r w:rsidR="008D62F8" w:rsidRPr="00010BEE">
        <w:rPr>
          <w:i/>
        </w:rPr>
        <w:t xml:space="preserve"> in </w:t>
      </w:r>
      <w:r w:rsidR="0094214A">
        <w:rPr>
          <w:i/>
        </w:rPr>
        <w:t>Non Terrestrial Networks</w:t>
      </w:r>
      <w:r w:rsidR="008D62F8" w:rsidRPr="00010BEE">
        <w:rPr>
          <w:i/>
        </w:rPr>
        <w:t xml:space="preserve"> especially in those with large cell sizes.</w:t>
      </w:r>
    </w:p>
    <w:p w14:paraId="0B33CF9D" w14:textId="77777777" w:rsidR="008D62F8" w:rsidRDefault="008D62F8" w:rsidP="008D62F8">
      <w:pPr>
        <w:jc w:val="both"/>
        <w:rPr>
          <w:i/>
          <w:iCs/>
        </w:rPr>
      </w:pPr>
    </w:p>
    <w:p w14:paraId="13B976F7" w14:textId="588AE2AC" w:rsidR="00AF1C81" w:rsidRPr="006F493A" w:rsidRDefault="00AF1C81" w:rsidP="00AF1C81">
      <w:pPr>
        <w:jc w:val="both"/>
        <w:rPr>
          <w:i/>
        </w:rPr>
      </w:pPr>
      <w:r w:rsidRPr="006F493A">
        <w:rPr>
          <w:b/>
          <w:bCs/>
          <w:i/>
          <w:u w:val="single"/>
        </w:rPr>
        <w:t>Observation 3:</w:t>
      </w:r>
      <w:r w:rsidRPr="006F493A">
        <w:rPr>
          <w:i/>
        </w:rPr>
        <w:t xml:space="preserve"> </w:t>
      </w:r>
      <w:r w:rsidR="00966748" w:rsidRPr="006F493A">
        <w:rPr>
          <w:i/>
        </w:rPr>
        <w:t xml:space="preserve">The RA-RNTI </w:t>
      </w:r>
      <w:r w:rsidR="00AF6F29">
        <w:rPr>
          <w:i/>
        </w:rPr>
        <w:t>ambiguity</w:t>
      </w:r>
      <w:r w:rsidR="00966748" w:rsidRPr="006F493A">
        <w:rPr>
          <w:i/>
        </w:rPr>
        <w:t xml:space="preserve"> and the unfairness for UEs located farther away from the satellite exist irrespective of the RACH procedure chosen (2-Step or 4-Step).</w:t>
      </w:r>
    </w:p>
    <w:p w14:paraId="311BD4A4" w14:textId="77777777" w:rsidR="00AF1C81" w:rsidRPr="00CA1D43" w:rsidRDefault="00AF1C81" w:rsidP="00CA1D43">
      <w:pPr>
        <w:rPr>
          <w:i/>
          <w:iCs/>
        </w:rPr>
      </w:pPr>
    </w:p>
    <w:p w14:paraId="35D4CBF1" w14:textId="7F10CEFB" w:rsidR="0038217B" w:rsidRPr="00711762" w:rsidRDefault="00AF1C81" w:rsidP="00711762">
      <w:pPr>
        <w:jc w:val="both"/>
        <w:rPr>
          <w:iCs/>
        </w:rPr>
      </w:pPr>
      <w:r w:rsidRPr="00D3151F">
        <w:rPr>
          <w:b/>
          <w:bCs/>
          <w:i/>
          <w:u w:val="single"/>
        </w:rPr>
        <w:t>Proposal 1:</w:t>
      </w:r>
      <w:r w:rsidRPr="00D3151F">
        <w:rPr>
          <w:i/>
        </w:rPr>
        <w:t xml:space="preserve"> </w:t>
      </w:r>
      <w:r w:rsidR="00FC08BF">
        <w:rPr>
          <w:i/>
        </w:rPr>
        <w:t xml:space="preserve">RAN2 to provide solutions to address the preamble ambiguity issues </w:t>
      </w:r>
      <w:r w:rsidR="00FC08BF">
        <w:rPr>
          <w:i/>
          <w:iCs/>
        </w:rPr>
        <w:t>at the network when receiving in a detection window multiple PRACHs that are sent from different UEs in different slots.</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RP-193234, Solutions for NR to support non-terrestrial networks (NTN), Sitges,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6BA94F60"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813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0A8A2" w14:textId="77777777" w:rsidR="00B309D7" w:rsidRDefault="00B309D7">
      <w:r>
        <w:separator/>
      </w:r>
    </w:p>
  </w:endnote>
  <w:endnote w:type="continuationSeparator" w:id="0">
    <w:p w14:paraId="4EE3A3CC" w14:textId="77777777" w:rsidR="00B309D7" w:rsidRDefault="00B309D7">
      <w:r>
        <w:continuationSeparator/>
      </w:r>
    </w:p>
  </w:endnote>
  <w:endnote w:type="continuationNotice" w:id="1">
    <w:p w14:paraId="077566C4" w14:textId="77777777" w:rsidR="00B309D7" w:rsidRDefault="00B30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F5F76" w14:textId="77777777" w:rsidR="00B309D7" w:rsidRDefault="00B309D7">
      <w:r>
        <w:separator/>
      </w:r>
    </w:p>
  </w:footnote>
  <w:footnote w:type="continuationSeparator" w:id="0">
    <w:p w14:paraId="14A03D29" w14:textId="77777777" w:rsidR="00B309D7" w:rsidRDefault="00B309D7">
      <w:r>
        <w:continuationSeparator/>
      </w:r>
    </w:p>
  </w:footnote>
  <w:footnote w:type="continuationNotice" w:id="1">
    <w:p w14:paraId="3EC28C59" w14:textId="77777777" w:rsidR="00B309D7" w:rsidRDefault="00B309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20"/>
  </w:num>
  <w:num w:numId="12">
    <w:abstractNumId w:val="2"/>
  </w:num>
  <w:num w:numId="13">
    <w:abstractNumId w:val="17"/>
  </w:num>
  <w:num w:numId="14">
    <w:abstractNumId w:val="11"/>
  </w:num>
  <w:num w:numId="15">
    <w:abstractNumId w:val="21"/>
  </w:num>
  <w:num w:numId="16">
    <w:abstractNumId w:val="22"/>
  </w:num>
  <w:num w:numId="17">
    <w:abstractNumId w:val="5"/>
  </w:num>
  <w:num w:numId="18">
    <w:abstractNumId w:val="19"/>
  </w:num>
  <w:num w:numId="19">
    <w:abstractNumId w:val="8"/>
  </w:num>
  <w:num w:numId="20">
    <w:abstractNumId w:val="4"/>
  </w:num>
  <w:num w:numId="21">
    <w:abstractNumId w:val="16"/>
  </w:num>
  <w:num w:numId="22">
    <w:abstractNumId w:val="3"/>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0D8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B1B"/>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6E8"/>
    <w:rsid w:val="00213283"/>
    <w:rsid w:val="0021360B"/>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5C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09D7"/>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29B"/>
    <w:rsid w:val="00CD1487"/>
    <w:rsid w:val="00CD160F"/>
    <w:rsid w:val="00CD2B1A"/>
    <w:rsid w:val="00CD2D0C"/>
    <w:rsid w:val="00CD2ED1"/>
    <w:rsid w:val="00CD2F77"/>
    <w:rsid w:val="00CD31A8"/>
    <w:rsid w:val="00CD337B"/>
    <w:rsid w:val="00CD3412"/>
    <w:rsid w:val="00CD3D6C"/>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340"/>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D5C"/>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TotalTime>
  <Pages>3</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22</cp:revision>
  <cp:lastPrinted>2020-01-28T01:17:00Z</cp:lastPrinted>
  <dcterms:created xsi:type="dcterms:W3CDTF">2020-08-06T16:51:00Z</dcterms:created>
  <dcterms:modified xsi:type="dcterms:W3CDTF">2021-04-02T01:45:00Z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